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Brand Identity Guidelines</w:t>
      </w:r>
    </w:p>
    <w:p>
      <w:pPr>
        <w:pStyle w:val="Heading1"/>
        <w:jc w:val="center"/>
      </w:pPr>
      <w:r>
        <w:t>Brand Identity Guidelines</w:t>
      </w:r>
    </w:p>
    <w:p>
      <w:pPr>
        <w:jc w:val="center"/>
      </w:pPr>
      <w:r>
        <w:rPr>
          <w:color w:val="718096"/>
          <w:sz w:val="28"/>
        </w:rPr>
        <w:t>A comprehensive guide to our modern, minimal, and professional brand identity system.</w:t>
      </w:r>
    </w:p>
    <w:p>
      <w:pPr>
        <w:spacing w:before="120" w:after="120"/>
        <w:pBdr>
          <w:bottom w:val="single" w:sz="6" w:space="1" w:color="999999"/>
        </w:pBdr>
      </w:pPr>
    </w:p>
    <w:p>
      <w:pPr>
        <w:pStyle w:val="Heading2"/>
      </w:pPr>
      <w:r>
        <w:t>1. Brand Overview</w:t>
      </w:r>
    </w:p>
    <w:p>
      <w:r>
        <w:t>Our brand embodies modern minimalism with purposeful design. We believe in clarity, sophistication, and creating meaningful connections through visual simplicity. Every element has been carefully crafted to communicate confidence, professionalism, and timeless elegance.</w:t>
      </w:r>
    </w:p>
    <w:p>
      <w:pPr>
        <w:pStyle w:val="Heading3"/>
      </w:pPr>
      <w:r>
        <w:t>Brand Personality</w:t>
      </w:r>
    </w:p>
    <w:p>
      <w:pPr>
        <w:pStyle w:val="ListBullet"/>
      </w:pPr>
      <w:r>
        <w:t>Confident yet approachable</w:t>
      </w:r>
    </w:p>
    <w:p>
      <w:pPr>
        <w:pStyle w:val="ListBullet"/>
      </w:pPr>
      <w:r>
        <w:t>Sophisticated without being pretentious</w:t>
      </w:r>
    </w:p>
    <w:p>
      <w:pPr>
        <w:pStyle w:val="ListBullet"/>
      </w:pPr>
      <w:r>
        <w:t>Modern with timeless appeal</w:t>
      </w:r>
    </w:p>
    <w:p>
      <w:pPr>
        <w:pStyle w:val="ListBullet"/>
      </w:pPr>
      <w:r>
        <w:t>Purposeful and intentional</w:t>
      </w:r>
    </w:p>
    <w:p>
      <w:pPr>
        <w:pStyle w:val="ListBullet"/>
      </w:pPr>
      <w:r>
        <w:t>Clean and uncluttered</w:t>
      </w:r>
    </w:p>
    <w:p>
      <w:pPr>
        <w:pStyle w:val="Heading2"/>
      </w:pPr>
      <w:r>
        <w:t>2. Logo System</w:t>
      </w:r>
    </w:p>
    <w:p>
      <w:r>
        <w:t>Our logo features a geometric monogram that represents connection and forward movement. The stylized 'N' creates an elegant, memorable mark that works across all applications.</w:t>
      </w:r>
    </w:p>
    <w:p>
      <w:pPr>
        <w:pStyle w:val="Heading3"/>
      </w:pPr>
      <w:r>
        <w:t>Logo Variations</w:t>
      </w:r>
    </w:p>
    <w:p>
      <w:r>
        <w:t>Primary Logo: Full color version with gradient stroke and coral accent dot. Use for most applications.</w:t>
      </w:r>
    </w:p>
    <w:p>
      <w:r>
        <w:t>Icon Only: Simplified version for favicons, app icons, and small spaces.</w:t>
      </w:r>
    </w:p>
    <w:p>
      <w:r>
        <w:t>Monochrome: Single color version for situations where color printing is limited.</w:t>
      </w:r>
    </w:p>
    <w:p>
      <w:pPr>
        <w:pStyle w:val="Heading3"/>
      </w:pPr>
      <w:r>
        <w:t>Clear Space &amp; Minimum Size</w:t>
      </w:r>
    </w:p>
    <w:p>
      <w:r>
        <w:t>Maintain a minimum clear space of 0.5x the logo height around all sides. The logo should never be smaller than 24px in digital applications or 0.25 inches in print.</w:t>
      </w:r>
    </w:p>
    <w:p>
      <w:pPr>
        <w:pStyle w:val="Heading2"/>
      </w:pPr>
      <w:r>
        <w:t>3. Color Palette</w:t>
      </w:r>
    </w:p>
    <w:p>
      <w:r>
        <w:t>Our color system is intentionally limited to create maximum impact and recognition. Each color serves a specific purpose in our visual hierarchy.</w:t>
      </w:r>
    </w:p>
    <w:p>
      <w:pPr>
        <w:pStyle w:val="Heading3"/>
      </w:pPr>
      <w:r>
        <w:t>Primary Colors</w:t>
      </w:r>
    </w:p>
    <w:tbl>
      <w:tblPr>
        <w:tblStyle w:val="TableGrid"/>
        <w:tblW w:type="auto" w:w="0"/>
        <w:tblLook w:firstColumn="1" w:firstRow="1" w:lastColumn="0" w:lastRow="0" w:noHBand="0" w:noVBand="1" w:val="04A0"/>
      </w:tblPr>
      <w:tblGrid>
        <w:gridCol w:w="2880"/>
        <w:gridCol w:w="2880"/>
        <w:gridCol w:w="2880"/>
      </w:tblGrid>
      <w:tr>
        <w:tc>
          <w:tcPr>
            <w:tcW w:type="dxa" w:w="2880"/>
          </w:tcPr>
          <w:p>
            <w:r>
              <w:t>Color</w:t>
            </w:r>
          </w:p>
        </w:tc>
        <w:tc>
          <w:tcPr>
            <w:tcW w:type="dxa" w:w="2880"/>
          </w:tcPr>
          <w:p>
            <w:r>
              <w:t>Hex Code</w:t>
            </w:r>
          </w:p>
        </w:tc>
        <w:tc>
          <w:tcPr>
            <w:tcW w:type="dxa" w:w="2880"/>
          </w:tcPr>
          <w:p>
            <w:r>
              <w:t>Usage</w:t>
            </w:r>
          </w:p>
        </w:tc>
      </w:tr>
      <w:tr>
        <w:tc>
          <w:tcPr>
            <w:tcW w:type="dxa" w:w="2880"/>
          </w:tcPr>
          <w:p>
            <w:r>
              <w:t>Deep Navy</w:t>
            </w:r>
          </w:p>
        </w:tc>
        <w:tc>
          <w:tcPr>
            <w:tcW w:type="dxa" w:w="2880"/>
          </w:tcPr>
          <w:p>
            <w:r>
              <w:t>#1A365D</w:t>
            </w:r>
          </w:p>
        </w:tc>
        <w:tc>
          <w:tcPr>
            <w:tcW w:type="dxa" w:w="2880"/>
          </w:tcPr>
          <w:p>
            <w:r>
              <w:t>Primary brand color, headers, CTAs</w:t>
            </w:r>
          </w:p>
        </w:tc>
      </w:tr>
      <w:tr>
        <w:tc>
          <w:tcPr>
            <w:tcW w:type="dxa" w:w="2880"/>
          </w:tcPr>
          <w:p>
            <w:r>
              <w:t>Warm Coral</w:t>
            </w:r>
          </w:p>
        </w:tc>
        <w:tc>
          <w:tcPr>
            <w:tcW w:type="dxa" w:w="2880"/>
          </w:tcPr>
          <w:p>
            <w:r>
              <w:t>#E07A5F</w:t>
            </w:r>
          </w:p>
        </w:tc>
        <w:tc>
          <w:tcPr>
            <w:tcW w:type="dxa" w:w="2880"/>
          </w:tcPr>
          <w:p>
            <w:r>
              <w:t>Accent color, buttons, highlights</w:t>
            </w:r>
          </w:p>
        </w:tc>
      </w:tr>
      <w:tr>
        <w:tc>
          <w:tcPr>
            <w:tcW w:type="dxa" w:w="2880"/>
          </w:tcPr>
          <w:p>
            <w:r>
              <w:t>Soft Cream</w:t>
            </w:r>
          </w:p>
        </w:tc>
        <w:tc>
          <w:tcPr>
            <w:tcW w:type="dxa" w:w="2880"/>
          </w:tcPr>
          <w:p>
            <w:r>
              <w:t>#F7F5F0</w:t>
            </w:r>
          </w:p>
        </w:tc>
        <w:tc>
          <w:tcPr>
            <w:tcW w:type="dxa" w:w="2880"/>
          </w:tcPr>
          <w:p>
            <w:r>
              <w:t>Backgrounds, cards, sections</w:t>
            </w:r>
          </w:p>
        </w:tc>
      </w:tr>
    </w:tbl>
    <w:p>
      <w:pPr>
        <w:pStyle w:val="Heading3"/>
      </w:pPr>
      <w:r>
        <w:t>Secondary Colors</w:t>
      </w:r>
    </w:p>
    <w:tbl>
      <w:tblPr>
        <w:tblStyle w:val="TableGrid"/>
        <w:tblW w:type="auto" w:w="0"/>
        <w:tblLook w:firstColumn="1" w:firstRow="1" w:lastColumn="0" w:lastRow="0" w:noHBand="0" w:noVBand="1" w:val="04A0"/>
      </w:tblPr>
      <w:tblGrid>
        <w:gridCol w:w="2880"/>
        <w:gridCol w:w="2880"/>
        <w:gridCol w:w="2880"/>
      </w:tblGrid>
      <w:tr>
        <w:tc>
          <w:tcPr>
            <w:tcW w:type="dxa" w:w="2880"/>
          </w:tcPr>
          <w:p>
            <w:r>
              <w:t>Color</w:t>
            </w:r>
          </w:p>
        </w:tc>
        <w:tc>
          <w:tcPr>
            <w:tcW w:type="dxa" w:w="2880"/>
          </w:tcPr>
          <w:p>
            <w:r>
              <w:t>Hex Code</w:t>
            </w:r>
          </w:p>
        </w:tc>
        <w:tc>
          <w:tcPr>
            <w:tcW w:type="dxa" w:w="2880"/>
          </w:tcPr>
          <w:p>
            <w:r>
              <w:t>Usage</w:t>
            </w:r>
          </w:p>
        </w:tc>
      </w:tr>
      <w:tr>
        <w:tc>
          <w:tcPr>
            <w:tcW w:type="dxa" w:w="2880"/>
          </w:tcPr>
          <w:p>
            <w:r>
              <w:t>Sage Green</w:t>
            </w:r>
          </w:p>
        </w:tc>
        <w:tc>
          <w:tcPr>
            <w:tcW w:type="dxa" w:w="2880"/>
          </w:tcPr>
          <w:p>
            <w:r>
              <w:t>#81B29A</w:t>
            </w:r>
          </w:p>
        </w:tc>
        <w:tc>
          <w:tcPr>
            <w:tcW w:type="dxa" w:w="2880"/>
          </w:tcPr>
          <w:p>
            <w:r>
              <w:t>Supporting elements, success states</w:t>
            </w:r>
          </w:p>
        </w:tc>
      </w:tr>
      <w:tr>
        <w:tc>
          <w:tcPr>
            <w:tcW w:type="dxa" w:w="2880"/>
          </w:tcPr>
          <w:p>
            <w:r>
              <w:t>Charcoal</w:t>
            </w:r>
          </w:p>
        </w:tc>
        <w:tc>
          <w:tcPr>
            <w:tcW w:type="dxa" w:w="2880"/>
          </w:tcPr>
          <w:p>
            <w:r>
              <w:t>#2D3748</w:t>
            </w:r>
          </w:p>
        </w:tc>
        <w:tc>
          <w:tcPr>
            <w:tcW w:type="dxa" w:w="2880"/>
          </w:tcPr>
          <w:p>
            <w:r>
              <w:t>Body text, dark backgrounds</w:t>
            </w:r>
          </w:p>
        </w:tc>
      </w:tr>
      <w:tr>
        <w:tc>
          <w:tcPr>
            <w:tcW w:type="dxa" w:w="2880"/>
          </w:tcPr>
          <w:p>
            <w:r>
              <w:t>Light Gray</w:t>
            </w:r>
          </w:p>
        </w:tc>
        <w:tc>
          <w:tcPr>
            <w:tcW w:type="dxa" w:w="2880"/>
          </w:tcPr>
          <w:p>
            <w:r>
              <w:t>#718096</w:t>
            </w:r>
          </w:p>
        </w:tc>
        <w:tc>
          <w:tcPr>
            <w:tcW w:type="dxa" w:w="2880"/>
          </w:tcPr>
          <w:p>
            <w:r>
              <w:t>Secondary text, subtle elements</w:t>
            </w:r>
          </w:p>
        </w:tc>
      </w:tr>
    </w:tbl>
    <w:p>
      <w:pPr>
        <w:pStyle w:val="Heading2"/>
      </w:pPr>
      <w:r>
        <w:t>4. Typography</w:t>
      </w:r>
    </w:p>
    <w:p>
      <w:r>
        <w:t>Our typography system pairs a modern sans-serif for clarity with an elegant serif for display moments. This combination creates visual interest while maintaining readability.</w:t>
      </w:r>
    </w:p>
    <w:p>
      <w:pPr>
        <w:pStyle w:val="Heading3"/>
      </w:pPr>
      <w:r>
        <w:t>Font Families</w:t>
      </w:r>
    </w:p>
    <w:p>
      <w:r>
        <w:t>Primary: Inter - A clean, modern sans-serif for body copy, UI elements, and general text.</w:t>
      </w:r>
    </w:p>
    <w:p>
      <w:r>
        <w:t>Display: Playfair Display - An elegant serif for headlines, quotes, and special moments.</w:t>
      </w:r>
    </w:p>
    <w:p>
      <w:pPr>
        <w:pStyle w:val="Heading3"/>
      </w:pPr>
      <w:r>
        <w:t>Type Scale</w:t>
      </w:r>
    </w:p>
    <w:tbl>
      <w:tblPr>
        <w:tblStyle w:val="TableGrid"/>
        <w:tblW w:type="auto" w:w="0"/>
        <w:tblLook w:firstColumn="1" w:firstRow="1" w:lastColumn="0" w:lastRow="0" w:noHBand="0" w:noVBand="1" w:val="04A0"/>
      </w:tblPr>
      <w:tblGrid>
        <w:gridCol w:w="2880"/>
        <w:gridCol w:w="2880"/>
        <w:gridCol w:w="2880"/>
      </w:tblGrid>
      <w:tr>
        <w:tc>
          <w:tcPr>
            <w:tcW w:type="dxa" w:w="2880"/>
          </w:tcPr>
          <w:p>
            <w:r>
              <w:t>Style</w:t>
            </w:r>
          </w:p>
        </w:tc>
        <w:tc>
          <w:tcPr>
            <w:tcW w:type="dxa" w:w="2880"/>
          </w:tcPr>
          <w:p>
            <w:r>
              <w:t>Size</w:t>
            </w:r>
          </w:p>
        </w:tc>
        <w:tc>
          <w:tcPr>
            <w:tcW w:type="dxa" w:w="2880"/>
          </w:tcPr>
          <w:p>
            <w:r>
              <w:t>Usage</w:t>
            </w:r>
          </w:p>
        </w:tc>
      </w:tr>
      <w:tr>
        <w:tc>
          <w:tcPr>
            <w:tcW w:type="dxa" w:w="2880"/>
          </w:tcPr>
          <w:p>
            <w:r>
              <w:t>Hero</w:t>
            </w:r>
          </w:p>
        </w:tc>
        <w:tc>
          <w:tcPr>
            <w:tcW w:type="dxa" w:w="2880"/>
          </w:tcPr>
          <w:p>
            <w:r>
              <w:t>60px</w:t>
            </w:r>
          </w:p>
        </w:tc>
        <w:tc>
          <w:tcPr>
            <w:tcW w:type="dxa" w:w="2880"/>
          </w:tcPr>
          <w:p>
            <w:r>
              <w:t>Major headlines, hero sections</w:t>
            </w:r>
          </w:p>
        </w:tc>
      </w:tr>
      <w:tr>
        <w:tc>
          <w:tcPr>
            <w:tcW w:type="dxa" w:w="2880"/>
          </w:tcPr>
          <w:p>
            <w:r>
              <w:t>H1</w:t>
            </w:r>
          </w:p>
        </w:tc>
        <w:tc>
          <w:tcPr>
            <w:tcW w:type="dxa" w:w="2880"/>
          </w:tcPr>
          <w:p>
            <w:r>
              <w:t>48px</w:t>
            </w:r>
          </w:p>
        </w:tc>
        <w:tc>
          <w:tcPr>
            <w:tcW w:type="dxa" w:w="2880"/>
          </w:tcPr>
          <w:p>
            <w:r>
              <w:t>Page titles, major sections</w:t>
            </w:r>
          </w:p>
        </w:tc>
      </w:tr>
      <w:tr>
        <w:tc>
          <w:tcPr>
            <w:tcW w:type="dxa" w:w="2880"/>
          </w:tcPr>
          <w:p>
            <w:r>
              <w:t>H2</w:t>
            </w:r>
          </w:p>
        </w:tc>
        <w:tc>
          <w:tcPr>
            <w:tcW w:type="dxa" w:w="2880"/>
          </w:tcPr>
          <w:p>
            <w:r>
              <w:t>36px</w:t>
            </w:r>
          </w:p>
        </w:tc>
        <w:tc>
          <w:tcPr>
            <w:tcW w:type="dxa" w:w="2880"/>
          </w:tcPr>
          <w:p>
            <w:r>
              <w:t>Section headings</w:t>
            </w:r>
          </w:p>
        </w:tc>
      </w:tr>
      <w:tr>
        <w:tc>
          <w:tcPr>
            <w:tcW w:type="dxa" w:w="2880"/>
          </w:tcPr>
          <w:p>
            <w:r>
              <w:t>H3</w:t>
            </w:r>
          </w:p>
        </w:tc>
        <w:tc>
          <w:tcPr>
            <w:tcW w:type="dxa" w:w="2880"/>
          </w:tcPr>
          <w:p>
            <w:r>
              <w:t>30px</w:t>
            </w:r>
          </w:p>
        </w:tc>
        <w:tc>
          <w:tcPr>
            <w:tcW w:type="dxa" w:w="2880"/>
          </w:tcPr>
          <w:p>
            <w:r>
              <w:t>Subsection headings</w:t>
            </w:r>
          </w:p>
        </w:tc>
      </w:tr>
      <w:tr>
        <w:tc>
          <w:tcPr>
            <w:tcW w:type="dxa" w:w="2880"/>
          </w:tcPr>
          <w:p>
            <w:r>
              <w:t>Body Large</w:t>
            </w:r>
          </w:p>
        </w:tc>
        <w:tc>
          <w:tcPr>
            <w:tcW w:type="dxa" w:w="2880"/>
          </w:tcPr>
          <w:p>
            <w:r>
              <w:t>18px</w:t>
            </w:r>
          </w:p>
        </w:tc>
        <w:tc>
          <w:tcPr>
            <w:tcW w:type="dxa" w:w="2880"/>
          </w:tcPr>
          <w:p>
            <w:r>
              <w:t>Lead paragraphs, emphasis</w:t>
            </w:r>
          </w:p>
        </w:tc>
      </w:tr>
      <w:tr>
        <w:tc>
          <w:tcPr>
            <w:tcW w:type="dxa" w:w="2880"/>
          </w:tcPr>
          <w:p>
            <w:r>
              <w:t>Body</w:t>
            </w:r>
          </w:p>
        </w:tc>
        <w:tc>
          <w:tcPr>
            <w:tcW w:type="dxa" w:w="2880"/>
          </w:tcPr>
          <w:p>
            <w:r>
              <w:t>16px</w:t>
            </w:r>
          </w:p>
        </w:tc>
        <w:tc>
          <w:tcPr>
            <w:tcW w:type="dxa" w:w="2880"/>
          </w:tcPr>
          <w:p>
            <w:r>
              <w:t>Standard body copy</w:t>
            </w:r>
          </w:p>
        </w:tc>
      </w:tr>
      <w:tr>
        <w:tc>
          <w:tcPr>
            <w:tcW w:type="dxa" w:w="2880"/>
          </w:tcPr>
          <w:p>
            <w:r>
              <w:t>Small</w:t>
            </w:r>
          </w:p>
        </w:tc>
        <w:tc>
          <w:tcPr>
            <w:tcW w:type="dxa" w:w="2880"/>
          </w:tcPr>
          <w:p>
            <w:r>
              <w:t>14px</w:t>
            </w:r>
          </w:p>
        </w:tc>
        <w:tc>
          <w:tcPr>
            <w:tcW w:type="dxa" w:w="2880"/>
          </w:tcPr>
          <w:p>
            <w:r>
              <w:t>Captions, metadata</w:t>
            </w:r>
          </w:p>
        </w:tc>
      </w:tr>
    </w:tbl>
    <w:p>
      <w:pPr>
        <w:pStyle w:val="Heading2"/>
      </w:pPr>
      <w:r>
        <w:t>5. Spacing System</w:t>
      </w:r>
    </w:p>
    <w:p>
      <w:r>
        <w:t>Our spacing follows an 8px base unit system, creating consistent rhythm and visual harmony across all designs.</w:t>
      </w:r>
    </w:p>
    <w:p>
      <w:pPr>
        <w:pStyle w:val="Heading3"/>
      </w:pPr>
      <w:r>
        <w:t>Spacing Scale</w:t>
      </w:r>
    </w:p>
    <w:tbl>
      <w:tblPr>
        <w:tblStyle w:val="TableGrid"/>
        <w:tblW w:type="auto" w:w="0"/>
        <w:tblLook w:firstColumn="1" w:firstRow="1" w:lastColumn="0" w:lastRow="0" w:noHBand="0" w:noVBand="1" w:val="04A0"/>
      </w:tblPr>
      <w:tblGrid>
        <w:gridCol w:w="2880"/>
        <w:gridCol w:w="2880"/>
        <w:gridCol w:w="2880"/>
      </w:tblGrid>
      <w:tr>
        <w:tc>
          <w:tcPr>
            <w:tcW w:type="dxa" w:w="2880"/>
          </w:tcPr>
          <w:p>
            <w:r>
              <w:t>Token</w:t>
            </w:r>
          </w:p>
        </w:tc>
        <w:tc>
          <w:tcPr>
            <w:tcW w:type="dxa" w:w="2880"/>
          </w:tcPr>
          <w:p>
            <w:r>
              <w:t>Value</w:t>
            </w:r>
          </w:p>
        </w:tc>
        <w:tc>
          <w:tcPr>
            <w:tcW w:type="dxa" w:w="2880"/>
          </w:tcPr>
          <w:p>
            <w:r>
              <w:t>Usage</w:t>
            </w:r>
          </w:p>
        </w:tc>
      </w:tr>
      <w:tr>
        <w:tc>
          <w:tcPr>
            <w:tcW w:type="dxa" w:w="2880"/>
          </w:tcPr>
          <w:p>
            <w:r>
              <w:t>space-2</w:t>
            </w:r>
          </w:p>
        </w:tc>
        <w:tc>
          <w:tcPr>
            <w:tcW w:type="dxa" w:w="2880"/>
          </w:tcPr>
          <w:p>
            <w:r>
              <w:t>8px</w:t>
            </w:r>
          </w:p>
        </w:tc>
        <w:tc>
          <w:tcPr>
            <w:tcW w:type="dxa" w:w="2880"/>
          </w:tcPr>
          <w:p>
            <w:r>
              <w:t>Tight spacing, icon gaps</w:t>
            </w:r>
          </w:p>
        </w:tc>
      </w:tr>
      <w:tr>
        <w:tc>
          <w:tcPr>
            <w:tcW w:type="dxa" w:w="2880"/>
          </w:tcPr>
          <w:p>
            <w:r>
              <w:t>space-4</w:t>
            </w:r>
          </w:p>
        </w:tc>
        <w:tc>
          <w:tcPr>
            <w:tcW w:type="dxa" w:w="2880"/>
          </w:tcPr>
          <w:p>
            <w:r>
              <w:t>16px</w:t>
            </w:r>
          </w:p>
        </w:tc>
        <w:tc>
          <w:tcPr>
            <w:tcW w:type="dxa" w:w="2880"/>
          </w:tcPr>
          <w:p>
            <w:r>
              <w:t>Component padding, small gaps</w:t>
            </w:r>
          </w:p>
        </w:tc>
      </w:tr>
      <w:tr>
        <w:tc>
          <w:tcPr>
            <w:tcW w:type="dxa" w:w="2880"/>
          </w:tcPr>
          <w:p>
            <w:r>
              <w:t>space-6</w:t>
            </w:r>
          </w:p>
        </w:tc>
        <w:tc>
          <w:tcPr>
            <w:tcW w:type="dxa" w:w="2880"/>
          </w:tcPr>
          <w:p>
            <w:r>
              <w:t>24px</w:t>
            </w:r>
          </w:p>
        </w:tc>
        <w:tc>
          <w:tcPr>
            <w:tcW w:type="dxa" w:w="2880"/>
          </w:tcPr>
          <w:p>
            <w:r>
              <w:t>Card padding, medium gaps</w:t>
            </w:r>
          </w:p>
        </w:tc>
      </w:tr>
      <w:tr>
        <w:tc>
          <w:tcPr>
            <w:tcW w:type="dxa" w:w="2880"/>
          </w:tcPr>
          <w:p>
            <w:r>
              <w:t>space-8</w:t>
            </w:r>
          </w:p>
        </w:tc>
        <w:tc>
          <w:tcPr>
            <w:tcW w:type="dxa" w:w="2880"/>
          </w:tcPr>
          <w:p>
            <w:r>
              <w:t>32px</w:t>
            </w:r>
          </w:p>
        </w:tc>
        <w:tc>
          <w:tcPr>
            <w:tcW w:type="dxa" w:w="2880"/>
          </w:tcPr>
          <w:p>
            <w:r>
              <w:t>Section spacing, large gaps</w:t>
            </w:r>
          </w:p>
        </w:tc>
      </w:tr>
      <w:tr>
        <w:tc>
          <w:tcPr>
            <w:tcW w:type="dxa" w:w="2880"/>
          </w:tcPr>
          <w:p>
            <w:r>
              <w:t>space-12</w:t>
            </w:r>
          </w:p>
        </w:tc>
        <w:tc>
          <w:tcPr>
            <w:tcW w:type="dxa" w:w="2880"/>
          </w:tcPr>
          <w:p>
            <w:r>
              <w:t>48px</w:t>
            </w:r>
          </w:p>
        </w:tc>
        <w:tc>
          <w:tcPr>
            <w:tcW w:type="dxa" w:w="2880"/>
          </w:tcPr>
          <w:p>
            <w:r>
              <w:t>Major section breaks</w:t>
            </w:r>
          </w:p>
        </w:tc>
      </w:tr>
      <w:tr>
        <w:tc>
          <w:tcPr>
            <w:tcW w:type="dxa" w:w="2880"/>
          </w:tcPr>
          <w:p>
            <w:r>
              <w:t>space-16</w:t>
            </w:r>
          </w:p>
        </w:tc>
        <w:tc>
          <w:tcPr>
            <w:tcW w:type="dxa" w:w="2880"/>
          </w:tcPr>
          <w:p>
            <w:r>
              <w:t>64px</w:t>
            </w:r>
          </w:p>
        </w:tc>
        <w:tc>
          <w:tcPr>
            <w:tcW w:type="dxa" w:w="2880"/>
          </w:tcPr>
          <w:p>
            <w:r>
              <w:t>Page-level spacing</w:t>
            </w:r>
          </w:p>
        </w:tc>
      </w:tr>
    </w:tbl>
    <w:p>
      <w:pPr>
        <w:pStyle w:val="Heading2"/>
      </w:pPr>
      <w:r>
        <w:t>6. Social Media Templates</w:t>
      </w:r>
    </w:p>
    <w:p>
      <w:r>
        <w:t>Our social media presence maintains brand consistency while optimizing for each platform's unique requirements.</w:t>
      </w:r>
    </w:p>
    <w:p>
      <w:pPr>
        <w:pStyle w:val="Heading3"/>
      </w:pPr>
      <w:r>
        <w:t>Instagram</w:t>
      </w:r>
    </w:p>
    <w:p>
      <w:pPr>
        <w:pStyle w:val="ListBullet"/>
      </w:pPr>
      <w:r>
        <w:t>Feed Posts: 1080x1080px, light or dark themes available</w:t>
      </w:r>
    </w:p>
    <w:p>
      <w:pPr>
        <w:pStyle w:val="ListBullet"/>
      </w:pPr>
      <w:r>
        <w:t>Stories: 1080x1920px, full-bleed designs with gradient backgrounds</w:t>
      </w:r>
    </w:p>
    <w:p>
      <w:pPr>
        <w:pStyle w:val="Heading3"/>
      </w:pPr>
      <w:r>
        <w:t>LinkedIn</w:t>
      </w:r>
    </w:p>
    <w:p>
      <w:pPr>
        <w:pStyle w:val="ListBullet"/>
      </w:pPr>
      <w:r>
        <w:t>Article Cards: 1200x627px, split layout with brand info and content preview</w:t>
      </w:r>
    </w:p>
    <w:p>
      <w:pPr>
        <w:pStyle w:val="Heading3"/>
      </w:pPr>
      <w:r>
        <w:t>Twitter/X</w:t>
      </w:r>
    </w:p>
    <w:p>
      <w:pPr>
        <w:pStyle w:val="ListBullet"/>
      </w:pPr>
      <w:r>
        <w:t>Cards: 1200x675px, tweet-style layout with profile and engagement metrics</w:t>
      </w:r>
    </w:p>
    <w:p>
      <w:pPr>
        <w:pStyle w:val="Heading2"/>
      </w:pPr>
      <w:r>
        <w:t>7. Application Guidelines</w:t>
      </w:r>
    </w:p>
    <w:p>
      <w:r>
        <w:t>When applying our brand identity, always prioritize clarity and consistency. Use the primary colors for key elements, maintain adequate spacing, and ensure the logo is always legible.</w:t>
      </w:r>
    </w:p>
    <w:p>
      <w:pPr>
        <w:pStyle w:val="Heading3"/>
      </w:pPr>
      <w:r>
        <w:t>Do's</w:t>
      </w:r>
    </w:p>
    <w:p>
      <w:pPr>
        <w:pStyle w:val="ListBullet"/>
      </w:pPr>
      <w:r>
        <w:t>Use ample white space</w:t>
      </w:r>
    </w:p>
    <w:p>
      <w:pPr>
        <w:pStyle w:val="ListBullet"/>
      </w:pPr>
      <w:r>
        <w:t>Maintain color hierarchy</w:t>
      </w:r>
    </w:p>
    <w:p>
      <w:pPr>
        <w:pStyle w:val="ListBullet"/>
      </w:pPr>
      <w:r>
        <w:t>Ensure sufficient contrast</w:t>
      </w:r>
    </w:p>
    <w:p>
      <w:pPr>
        <w:pStyle w:val="ListBullet"/>
      </w:pPr>
      <w:r>
        <w:t>Scale elements proportionally</w:t>
      </w:r>
    </w:p>
    <w:p>
      <w:pPr>
        <w:pStyle w:val="Heading3"/>
      </w:pPr>
      <w:r>
        <w:t>Don'ts</w:t>
      </w:r>
    </w:p>
    <w:p>
      <w:pPr>
        <w:pStyle w:val="ListBullet"/>
      </w:pPr>
      <w:r>
        <w:t>Don't stretch or distort the logo</w:t>
      </w:r>
    </w:p>
    <w:p>
      <w:pPr>
        <w:pStyle w:val="ListBullet"/>
      </w:pPr>
      <w:r>
        <w:t>Don't use unapproved colors</w:t>
      </w:r>
    </w:p>
    <w:p>
      <w:pPr>
        <w:pStyle w:val="ListBullet"/>
      </w:pPr>
      <w:r>
        <w:t>Don't crowd elements</w:t>
      </w:r>
    </w:p>
    <w:p>
      <w:pPr>
        <w:pStyle w:val="ListBullet"/>
      </w:pPr>
      <w:r>
        <w:t>Don't use low-contrast combinations</w:t>
      </w:r>
    </w:p>
    <w:p>
      <w:r>
        <w:br w:type="page"/>
      </w:r>
    </w:p>
    <w:p>
      <w:pPr>
        <w:pStyle w:val="Heading2"/>
      </w:pPr>
      <w:r>
        <w:t>8. Asset Library</w:t>
      </w:r>
    </w:p>
    <w:p>
      <w:r>
        <w:t>All brand assets are organized in the following structure:</w:t>
      </w:r>
    </w:p>
    <w:p>
      <w:pPr>
        <w:pStyle w:val="ListBullet"/>
      </w:pPr>
      <w:r>
        <w:t>brand_identity/ - Logo files, color system, typography, spacing</w:t>
      </w:r>
    </w:p>
    <w:p>
      <w:pPr>
        <w:pStyle w:val="ListBullet"/>
      </w:pPr>
      <w:r>
        <w:t>social_templates/ - Platform-specific HTML templates</w:t>
      </w:r>
    </w:p>
    <w:p>
      <w:r>
        <w:t>For questions or additional assets, contact the brand team.</w:t>
      </w:r>
    </w:p>
    <w:p>
      <w:pPr>
        <w:spacing w:before="120" w:after="120"/>
        <w:pBdr>
          <w:bottom w:val="single" w:sz="6" w:space="1" w:color="999999"/>
        </w:pBdr>
      </w:pPr>
    </w:p>
    <w:p>
      <w:pPr>
        <w:jc w:val="center"/>
      </w:pPr>
      <w:r>
        <w:rPr>
          <w:color w:val="718096"/>
          <w:sz w:val="24"/>
        </w:rPr>
        <w:t>© 2026 Brand Identity Guidelines. All rights reserved.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